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C0" w:rsidRDefault="00A114C0">
      <w:pPr>
        <w:jc w:val="center"/>
        <w:rPr>
          <w:rFonts w:ascii="AvantGarde" w:hAnsi="AvantGarde"/>
          <w:sz w:val="24"/>
        </w:rPr>
      </w:pPr>
    </w:p>
    <w:p w:rsidR="00A114C0" w:rsidRDefault="00A114C0">
      <w:pPr>
        <w:jc w:val="center"/>
        <w:rPr>
          <w:rFonts w:ascii="AvantGarde" w:hAnsi="AvantGarde"/>
          <w:sz w:val="24"/>
        </w:rPr>
      </w:pPr>
    </w:p>
    <w:p w:rsidR="00A114C0" w:rsidRDefault="00002E8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Enquête nationale sur la mortalité hivernale des colonies d'abeilles 2017-2018</w:t>
      </w:r>
    </w:p>
    <w:p w:rsidR="00A114C0" w:rsidRDefault="00002E8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Protocole</w:t>
      </w:r>
    </w:p>
    <w:p w:rsidR="00A114C0" w:rsidRDefault="00A114C0">
      <w:pPr>
        <w:spacing w:after="200" w:line="276" w:lineRule="auto"/>
        <w:jc w:val="both"/>
      </w:pPr>
    </w:p>
    <w:p w:rsidR="00A114C0" w:rsidRDefault="00A114C0">
      <w:pPr>
        <w:jc w:val="both"/>
        <w:rPr>
          <w:rFonts w:ascii="Arial" w:hAnsi="Arial" w:cs="Arial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Objectif</w:t>
      </w:r>
    </w:p>
    <w:p w:rsidR="00A114C0" w:rsidRDefault="00002E82">
      <w:pPr>
        <w:jc w:val="both"/>
      </w:pPr>
      <w:r>
        <w:rPr>
          <w:rFonts w:ascii="Garamond" w:hAnsi="Garamond"/>
          <w:sz w:val="24"/>
        </w:rPr>
        <w:t>Décrire et quantifier le phénomène de mortalité des abeilles pendant la saison hivernale 2017-2018, en fonction de la région et de la typologie des apiculteurs (approchée par le nombre de ruches), et recueillir l'avis des apiculteurs concernant son évoluti</w:t>
      </w:r>
      <w:r>
        <w:rPr>
          <w:rFonts w:ascii="Garamond" w:hAnsi="Garamond"/>
          <w:sz w:val="24"/>
        </w:rPr>
        <w:t xml:space="preserve">on par rapport à l'hiver précédent. 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Enquête descriptive</w:t>
      </w:r>
    </w:p>
    <w:p w:rsidR="00A114C0" w:rsidRDefault="00002E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L’élucidation des facteurs de risque d’une mortalité hivernale élevée (et des facteurs protecteurs </w:t>
      </w:r>
      <w:proofErr w:type="gramStart"/>
      <w:r>
        <w:rPr>
          <w:rFonts w:ascii="Garamond" w:hAnsi="Garamond"/>
          <w:sz w:val="24"/>
        </w:rPr>
        <w:t>pour</w:t>
      </w:r>
      <w:proofErr w:type="gramEnd"/>
      <w:r>
        <w:rPr>
          <w:rFonts w:ascii="Garamond" w:hAnsi="Garamond"/>
          <w:sz w:val="24"/>
        </w:rPr>
        <w:t xml:space="preserve"> une mortalité faible) nécessiterait la mise en œuvre d’un protocole détaillé, incluant des obs</w:t>
      </w:r>
      <w:r>
        <w:rPr>
          <w:rFonts w:ascii="Garamond" w:hAnsi="Garamond"/>
          <w:sz w:val="24"/>
        </w:rPr>
        <w:t>ervations, des analyses biologiques, etc. ; par ailleurs, menée de manière rétrospective, une telle enquête expose à des biais d’information et de mémoire. Pour ces raisons, l’enquête sera uniquement descriptive.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Modalités de l’enquête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Enquête auprès de l</w:t>
      </w:r>
      <w:r>
        <w:rPr>
          <w:rFonts w:ascii="Garamond" w:hAnsi="Garamond"/>
          <w:sz w:val="24"/>
        </w:rPr>
        <w:t xml:space="preserve">’ensemble des apiculteurs de France, incluant les </w:t>
      </w:r>
      <w:proofErr w:type="spellStart"/>
      <w:r>
        <w:rPr>
          <w:rFonts w:ascii="Garamond" w:hAnsi="Garamond"/>
          <w:sz w:val="24"/>
        </w:rPr>
        <w:t>Drom-COMrom</w:t>
      </w:r>
      <w:proofErr w:type="spellEnd"/>
      <w:r>
        <w:rPr>
          <w:rFonts w:ascii="Garamond" w:hAnsi="Garamond"/>
          <w:sz w:val="24"/>
        </w:rPr>
        <w:t>, ayant déclaré leurs ruches en ligne (mesdemarches.agriculture.gouv.fr) entre le 1</w:t>
      </w:r>
      <w:r>
        <w:rPr>
          <w:rFonts w:ascii="Garamond" w:hAnsi="Garamond"/>
          <w:sz w:val="24"/>
          <w:vertAlign w:val="superscript"/>
        </w:rPr>
        <w:t>er</w:t>
      </w:r>
      <w:r>
        <w:rPr>
          <w:rFonts w:ascii="Garamond" w:hAnsi="Garamond"/>
          <w:sz w:val="24"/>
        </w:rPr>
        <w:t xml:space="preserve"> septembre et le 31 décembre 2017 sur le site du ministère de l’Agriculture</w:t>
      </w:r>
      <w:r>
        <w:rPr>
          <w:rStyle w:val="Ancredenotedebasdepage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  <w:vertAlign w:val="superscript"/>
        </w:rPr>
        <w:t xml:space="preserve"> </w:t>
      </w:r>
      <w:r>
        <w:rPr>
          <w:rFonts w:ascii="Garamond" w:hAnsi="Garamond"/>
          <w:sz w:val="24"/>
        </w:rPr>
        <w:t>(Déclaration de détention et d’em</w:t>
      </w:r>
      <w:r>
        <w:rPr>
          <w:rFonts w:ascii="Garamond" w:hAnsi="Garamond"/>
          <w:sz w:val="24"/>
        </w:rPr>
        <w:t>placement de ruches 2017 « DDER17 »)</w:t>
      </w:r>
      <w:r>
        <w:rPr>
          <w:rFonts w:ascii="Garamond" w:hAnsi="Garamond"/>
          <w:sz w:val="24"/>
        </w:rPr>
        <w:t xml:space="preserve"> 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u w:val="single"/>
        </w:rPr>
      </w:pPr>
      <w:r>
        <w:rPr>
          <w:rFonts w:ascii="Garamond" w:hAnsi="Garamond"/>
          <w:sz w:val="24"/>
          <w:u w:val="single"/>
        </w:rPr>
        <w:t>P</w:t>
      </w:r>
      <w:r w:rsidRPr="00D01F42">
        <w:rPr>
          <w:rFonts w:ascii="Garamond" w:hAnsi="Garamond"/>
          <w:sz w:val="24"/>
          <w:u w:val="single"/>
        </w:rPr>
        <w:t>our les apiculteurs ayant accepté d’être contacté par mail dans DDER17 (environ 46 000 des apiculteurs ayant déclaré au moins une ruche en 2017)</w:t>
      </w:r>
    </w:p>
    <w:p w:rsidR="00A114C0" w:rsidRPr="00D01F42" w:rsidRDefault="00D01F42" w:rsidP="00D01F42">
      <w:pPr>
        <w:pStyle w:val="Paragraphedeliste"/>
        <w:numPr>
          <w:ilvl w:val="2"/>
          <w:numId w:val="2"/>
        </w:numPr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Enquête en ligne</w:t>
      </w:r>
    </w:p>
    <w:p w:rsidR="00A114C0" w:rsidRDefault="00002E82" w:rsidP="00D01F42">
      <w:pPr>
        <w:pStyle w:val="Paragraphedeliste"/>
        <w:numPr>
          <w:ilvl w:val="2"/>
          <w:numId w:val="2"/>
        </w:numPr>
        <w:ind w:left="1134"/>
        <w:jc w:val="both"/>
      </w:pPr>
      <w:r>
        <w:rPr>
          <w:rFonts w:ascii="Garamond" w:hAnsi="Garamond"/>
          <w:sz w:val="24"/>
        </w:rPr>
        <w:t xml:space="preserve">Relance par mail des </w:t>
      </w:r>
      <w:r>
        <w:rPr>
          <w:rFonts w:ascii="Garamond" w:hAnsi="Garamond"/>
          <w:sz w:val="24"/>
        </w:rPr>
        <w:t>non-répondants au bout de quinze jours</w:t>
      </w:r>
    </w:p>
    <w:p w:rsidR="00A114C0" w:rsidRPr="00D01F42" w:rsidRDefault="00002E82" w:rsidP="00D01F4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  <w:u w:val="single"/>
        </w:rPr>
      </w:pPr>
      <w:r w:rsidRPr="00D01F42">
        <w:rPr>
          <w:rFonts w:ascii="Garamond" w:hAnsi="Garamond"/>
          <w:sz w:val="24"/>
          <w:u w:val="single"/>
        </w:rPr>
        <w:t>P</w:t>
      </w:r>
      <w:r>
        <w:rPr>
          <w:rFonts w:ascii="Garamond" w:hAnsi="Garamond"/>
          <w:sz w:val="24"/>
          <w:u w:val="single"/>
        </w:rPr>
        <w:t>o</w:t>
      </w:r>
      <w:r w:rsidRPr="00D01F42">
        <w:rPr>
          <w:rFonts w:ascii="Garamond" w:hAnsi="Garamond"/>
          <w:sz w:val="24"/>
          <w:u w:val="single"/>
        </w:rPr>
        <w:t>ur le reste des apiculteurs</w:t>
      </w:r>
      <w:r w:rsidRPr="00D01F42">
        <w:rPr>
          <w:rFonts w:ascii="Garamond" w:hAnsi="Garamond"/>
          <w:sz w:val="24"/>
          <w:u w:val="single"/>
        </w:rPr>
        <w:t xml:space="preserve"> ayant déclaré au moins une ruche dans DDER17 (environ 8 000 apiculteurs qui ont fait leur déclaration sur papier (formula</w:t>
      </w:r>
      <w:r w:rsidRPr="00D01F42">
        <w:rPr>
          <w:rFonts w:ascii="Garamond" w:hAnsi="Garamond"/>
          <w:sz w:val="24"/>
          <w:u w:val="single"/>
        </w:rPr>
        <w:t xml:space="preserve">ire </w:t>
      </w:r>
      <w:proofErr w:type="spellStart"/>
      <w:r w:rsidRPr="00D01F42">
        <w:rPr>
          <w:rFonts w:ascii="Garamond" w:hAnsi="Garamond"/>
          <w:sz w:val="24"/>
          <w:u w:val="single"/>
        </w:rPr>
        <w:t>Cerfa</w:t>
      </w:r>
      <w:proofErr w:type="spellEnd"/>
      <w:r w:rsidRPr="00D01F42">
        <w:rPr>
          <w:rFonts w:ascii="Garamond" w:hAnsi="Garamond"/>
          <w:sz w:val="24"/>
          <w:u w:val="single"/>
        </w:rPr>
        <w:t xml:space="preserve"> 13995*04)</w:t>
      </w:r>
      <w:r w:rsidRPr="00D01F42">
        <w:rPr>
          <w:rFonts w:ascii="Garamond" w:hAnsi="Garamond"/>
          <w:sz w:val="24"/>
          <w:u w:val="single"/>
        </w:rPr>
        <w:t xml:space="preserve"> </w:t>
      </w:r>
      <w:r w:rsidRPr="00D01F42">
        <w:rPr>
          <w:rFonts w:ascii="Garamond" w:hAnsi="Garamond"/>
          <w:sz w:val="24"/>
          <w:u w:val="single"/>
        </w:rPr>
        <w:t xml:space="preserve">sans indiquer de mél, </w:t>
      </w:r>
      <w:r w:rsidRPr="00D01F42">
        <w:rPr>
          <w:rFonts w:ascii="Garamond" w:hAnsi="Garamond"/>
          <w:sz w:val="24"/>
          <w:u w:val="single"/>
        </w:rPr>
        <w:t>ou ayant</w:t>
      </w:r>
      <w:r w:rsidRPr="00D01F42">
        <w:rPr>
          <w:rFonts w:ascii="Garamond" w:hAnsi="Garamond"/>
          <w:sz w:val="24"/>
          <w:u w:val="single"/>
        </w:rPr>
        <w:t xml:space="preserve"> </w:t>
      </w:r>
      <w:r w:rsidRPr="00D01F42">
        <w:rPr>
          <w:rFonts w:ascii="Garamond" w:hAnsi="Garamond"/>
          <w:sz w:val="24"/>
          <w:u w:val="single"/>
        </w:rPr>
        <w:t xml:space="preserve">refusé d'être contactés par mél) : </w:t>
      </w:r>
    </w:p>
    <w:p w:rsidR="00A114C0" w:rsidRPr="00D01F42" w:rsidRDefault="00002E82" w:rsidP="00D01F42">
      <w:pPr>
        <w:pStyle w:val="Paragraphedeliste"/>
        <w:numPr>
          <w:ilvl w:val="2"/>
          <w:numId w:val="2"/>
        </w:numPr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Publipostage avec </w:t>
      </w:r>
      <w:r>
        <w:rPr>
          <w:rFonts w:ascii="Garamond" w:hAnsi="Garamond"/>
          <w:sz w:val="24"/>
        </w:rPr>
        <w:t xml:space="preserve">échantillonnage aléatoire de 3 000 de ces apiculteurs pour des raisons de faisabilité ; ces apiculteurs </w:t>
      </w:r>
      <w:r>
        <w:rPr>
          <w:rFonts w:ascii="Garamond" w:hAnsi="Garamond"/>
          <w:sz w:val="24"/>
        </w:rPr>
        <w:t xml:space="preserve">seront incités à répondre à l’enquête </w:t>
      </w:r>
      <w:r>
        <w:rPr>
          <w:rFonts w:ascii="Garamond" w:hAnsi="Garamond"/>
          <w:sz w:val="24"/>
        </w:rPr>
        <w:t xml:space="preserve">en ligne mais </w:t>
      </w:r>
      <w:r>
        <w:rPr>
          <w:rFonts w:ascii="Garamond" w:hAnsi="Garamond"/>
          <w:sz w:val="24"/>
        </w:rPr>
        <w:t xml:space="preserve">auront </w:t>
      </w:r>
      <w:r>
        <w:rPr>
          <w:rFonts w:ascii="Garamond" w:hAnsi="Garamond"/>
          <w:sz w:val="24"/>
        </w:rPr>
        <w:t xml:space="preserve">également </w:t>
      </w:r>
      <w:r>
        <w:rPr>
          <w:rFonts w:ascii="Garamond" w:hAnsi="Garamond"/>
          <w:sz w:val="24"/>
        </w:rPr>
        <w:t>la possibilité de répondre par courrier</w:t>
      </w:r>
    </w:p>
    <w:p w:rsidR="00A114C0" w:rsidRPr="00D01F42" w:rsidRDefault="00002E82" w:rsidP="00D01F4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Au vu du taux de réponse, </w:t>
      </w:r>
      <w:r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ise en place éventuellement d’une enquête téléphonique complémentaire auprès des apiculteurs non-répondants ayant plus de 50 ruches, dans les régions où le </w:t>
      </w:r>
      <w:r>
        <w:rPr>
          <w:rFonts w:ascii="Garamond" w:hAnsi="Garamond"/>
          <w:sz w:val="24"/>
        </w:rPr>
        <w:t>taux de réponse aura été le plus faible : tirage au sort au sein de la population des apiculteurs (répondants et non-répondants) afin de limiter les biais et relance des non-répondants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Consultation Cnil pour les différentes modalités retenues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Mise en œuvre</w:t>
      </w:r>
      <w:r>
        <w:rPr>
          <w:rFonts w:ascii="Garamond" w:hAnsi="Garamond"/>
          <w:sz w:val="24"/>
        </w:rPr>
        <w:t xml:space="preserve"> pratique : enquête sous Sphinx hébergée par l’Anses, blocage de la saisie une fois l’enregistrement validé par l’apiculteur, saisie des questionnaires retournés par courrier par la DGAl à compter de septembre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Par apiculteur, indication sur le mailing et l</w:t>
      </w:r>
      <w:r>
        <w:rPr>
          <w:rFonts w:ascii="Garamond" w:hAnsi="Garamond"/>
          <w:sz w:val="24"/>
        </w:rPr>
        <w:t>e courrier du numéro de référence (numéro unique dans DDER17) le plus récent, avec numéro NAPI correspondant ; invite à saisir ces deux numéros dans la réponse</w:t>
      </w:r>
      <w:r>
        <w:rPr>
          <w:rFonts w:ascii="Garamond" w:hAnsi="Garamond"/>
          <w:sz w:val="24"/>
        </w:rPr>
        <w:t xml:space="preserve"> a</w:t>
      </w:r>
      <w:r>
        <w:rPr>
          <w:rFonts w:ascii="Garamond" w:hAnsi="Garamond"/>
          <w:sz w:val="24"/>
        </w:rPr>
        <w:t>fin de s'assurer de l'absence de doublon dans les déclarations de mortalité.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</w:pPr>
      <w:r>
        <w:rPr>
          <w:rFonts w:ascii="Garamond" w:hAnsi="Garamond"/>
          <w:b/>
          <w:sz w:val="24"/>
        </w:rPr>
        <w:t>Contenu</w:t>
      </w:r>
      <w:r>
        <w:rPr>
          <w:rFonts w:ascii="Garamond" w:hAnsi="Garamond"/>
          <w:b/>
          <w:sz w:val="24"/>
        </w:rPr>
        <w:t xml:space="preserve"> (voir l</w:t>
      </w:r>
      <w:r>
        <w:rPr>
          <w:rFonts w:ascii="Garamond" w:hAnsi="Garamond"/>
          <w:b/>
          <w:sz w:val="24"/>
        </w:rPr>
        <w:t xml:space="preserve">e </w:t>
      </w:r>
      <w:r>
        <w:rPr>
          <w:rFonts w:ascii="Garamond" w:hAnsi="Garamond"/>
          <w:b/>
          <w:sz w:val="24"/>
        </w:rPr>
        <w:t>questionnaire)</w:t>
      </w:r>
    </w:p>
    <w:p w:rsidR="00A114C0" w:rsidRPr="002156D7" w:rsidRDefault="002156D7" w:rsidP="002156D7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02E82">
        <w:rPr>
          <w:rFonts w:ascii="Garamond" w:hAnsi="Garamond"/>
          <w:sz w:val="24"/>
        </w:rPr>
        <w:t>ecueil des mois d’entrée et de sortie</w:t>
      </w:r>
      <w:r w:rsidR="00002E82">
        <w:rPr>
          <w:rFonts w:ascii="Garamond" w:hAnsi="Garamond"/>
          <w:sz w:val="24"/>
        </w:rPr>
        <w:t xml:space="preserve"> </w:t>
      </w:r>
      <w:r w:rsidR="00002E82">
        <w:rPr>
          <w:rFonts w:ascii="Garamond" w:hAnsi="Garamond"/>
          <w:sz w:val="24"/>
        </w:rPr>
        <w:t xml:space="preserve">en hivernage 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Nombre de colonies à l’entrée en hivernage (ruches, </w:t>
      </w:r>
      <w:proofErr w:type="spellStart"/>
      <w:r>
        <w:rPr>
          <w:rFonts w:ascii="Garamond" w:hAnsi="Garamond"/>
          <w:sz w:val="24"/>
        </w:rPr>
        <w:t>ruchettes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nuclei</w:t>
      </w:r>
      <w:proofErr w:type="spellEnd"/>
      <w:r>
        <w:rPr>
          <w:rFonts w:ascii="Garamond" w:hAnsi="Garamond"/>
          <w:sz w:val="24"/>
        </w:rPr>
        <w:t>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Nombr</w:t>
      </w:r>
      <w:r>
        <w:rPr>
          <w:rFonts w:ascii="Garamond" w:hAnsi="Garamond"/>
          <w:sz w:val="24"/>
        </w:rPr>
        <w:t xml:space="preserve">e de colonies mortes à la sortie d’hivernage (ruches, </w:t>
      </w:r>
      <w:proofErr w:type="spellStart"/>
      <w:r>
        <w:rPr>
          <w:rFonts w:ascii="Garamond" w:hAnsi="Garamond"/>
          <w:sz w:val="24"/>
        </w:rPr>
        <w:t>ruchettes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nuclei</w:t>
      </w:r>
      <w:proofErr w:type="spellEnd"/>
      <w:r>
        <w:rPr>
          <w:rFonts w:ascii="Garamond" w:hAnsi="Garamond"/>
          <w:sz w:val="24"/>
        </w:rPr>
        <w:t>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Département</w:t>
      </w:r>
      <w:r>
        <w:rPr>
          <w:rFonts w:ascii="Garamond" w:hAnsi="Garamond"/>
          <w:sz w:val="24"/>
        </w:rPr>
        <w:t>(s)</w:t>
      </w:r>
      <w:r>
        <w:rPr>
          <w:rFonts w:ascii="Garamond" w:hAnsi="Garamond"/>
          <w:sz w:val="24"/>
        </w:rPr>
        <w:t xml:space="preserve"> d’hivernage 2017-2018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Appréciation par l’apiculteur des pertes hivernales 2017-2018 par rapport à l’hiver 2016-2017 (plus faibles, identiques, plus élevées, exceptionne</w:t>
      </w:r>
      <w:r>
        <w:rPr>
          <w:rFonts w:ascii="Garamond" w:hAnsi="Garamond"/>
          <w:sz w:val="24"/>
        </w:rPr>
        <w:t>llement plus élevées, ne sait pas)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Question ouverte : causes de mortalité hivernale 2017-2018 des ruches selon l’apiculteur, commentaires éventuels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Groupe projet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Portage scientifique Anses dans le cadre d’un projet Plateforme ESA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 xml:space="preserve">Groupe projet : Anses (D </w:t>
      </w:r>
      <w:r>
        <w:rPr>
          <w:rFonts w:ascii="Garamond" w:hAnsi="Garamond"/>
          <w:sz w:val="24"/>
        </w:rPr>
        <w:t xml:space="preserve">Calavas, MP </w:t>
      </w:r>
      <w:proofErr w:type="spellStart"/>
      <w:r>
        <w:rPr>
          <w:rFonts w:ascii="Garamond" w:hAnsi="Garamond"/>
          <w:sz w:val="24"/>
        </w:rPr>
        <w:t>Chauzat</w:t>
      </w:r>
      <w:proofErr w:type="spellEnd"/>
      <w:r>
        <w:rPr>
          <w:rFonts w:ascii="Garamond" w:hAnsi="Garamond"/>
          <w:sz w:val="24"/>
        </w:rPr>
        <w:t xml:space="preserve">, P </w:t>
      </w:r>
      <w:proofErr w:type="spellStart"/>
      <w:r>
        <w:rPr>
          <w:rFonts w:ascii="Garamond" w:hAnsi="Garamond"/>
          <w:sz w:val="24"/>
        </w:rPr>
        <w:t>Hendrikx</w:t>
      </w:r>
      <w:proofErr w:type="spellEnd"/>
      <w:r>
        <w:rPr>
          <w:rFonts w:ascii="Garamond" w:hAnsi="Garamond"/>
          <w:sz w:val="24"/>
        </w:rPr>
        <w:t xml:space="preserve">, M Laurent, A </w:t>
      </w:r>
      <w:proofErr w:type="spellStart"/>
      <w:r>
        <w:rPr>
          <w:rFonts w:ascii="Garamond" w:hAnsi="Garamond"/>
          <w:sz w:val="24"/>
        </w:rPr>
        <w:t>Moukouboulou</w:t>
      </w:r>
      <w:proofErr w:type="spellEnd"/>
      <w:r>
        <w:rPr>
          <w:rFonts w:ascii="Garamond" w:hAnsi="Garamond"/>
          <w:sz w:val="24"/>
        </w:rPr>
        <w:t xml:space="preserve">, MP Rivière, M </w:t>
      </w:r>
      <w:proofErr w:type="spellStart"/>
      <w:r>
        <w:rPr>
          <w:rFonts w:ascii="Garamond" w:hAnsi="Garamond"/>
          <w:sz w:val="24"/>
        </w:rPr>
        <w:t>Saussac</w:t>
      </w:r>
      <w:proofErr w:type="spellEnd"/>
      <w:r>
        <w:rPr>
          <w:rFonts w:ascii="Garamond" w:hAnsi="Garamond"/>
          <w:sz w:val="24"/>
        </w:rPr>
        <w:t xml:space="preserve">) DGAl (S </w:t>
      </w:r>
      <w:proofErr w:type="spellStart"/>
      <w:r>
        <w:rPr>
          <w:rFonts w:ascii="Garamond" w:hAnsi="Garamond"/>
          <w:sz w:val="24"/>
        </w:rPr>
        <w:t>Benkirane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Bronner</w:t>
      </w:r>
      <w:proofErr w:type="spellEnd"/>
      <w:r>
        <w:rPr>
          <w:rFonts w:ascii="Garamond" w:hAnsi="Garamond"/>
          <w:sz w:val="24"/>
        </w:rPr>
        <w:t xml:space="preserve">, S Wendling), </w:t>
      </w:r>
      <w:proofErr w:type="spellStart"/>
      <w:r>
        <w:rPr>
          <w:rFonts w:ascii="Garamond" w:hAnsi="Garamond"/>
          <w:sz w:val="24"/>
        </w:rPr>
        <w:t>Sral</w:t>
      </w:r>
      <w:proofErr w:type="spellEnd"/>
      <w:r>
        <w:rPr>
          <w:rFonts w:ascii="Garamond" w:hAnsi="Garamond"/>
          <w:sz w:val="24"/>
        </w:rPr>
        <w:t xml:space="preserve"> Bretagne (A </w:t>
      </w:r>
      <w:proofErr w:type="spellStart"/>
      <w:r>
        <w:rPr>
          <w:rFonts w:ascii="Garamond" w:hAnsi="Garamond"/>
          <w:sz w:val="24"/>
        </w:rPr>
        <w:t>Gamon</w:t>
      </w:r>
      <w:proofErr w:type="spellEnd"/>
      <w:r>
        <w:rPr>
          <w:rFonts w:ascii="Garamond" w:hAnsi="Garamond"/>
          <w:sz w:val="24"/>
        </w:rPr>
        <w:t xml:space="preserve">), </w:t>
      </w:r>
      <w:proofErr w:type="spellStart"/>
      <w:r>
        <w:rPr>
          <w:rFonts w:ascii="Garamond" w:hAnsi="Garamond"/>
          <w:sz w:val="24"/>
        </w:rPr>
        <w:t>Sral</w:t>
      </w:r>
      <w:proofErr w:type="spellEnd"/>
      <w:r>
        <w:rPr>
          <w:rFonts w:ascii="Garamond" w:hAnsi="Garamond"/>
          <w:sz w:val="24"/>
        </w:rPr>
        <w:t xml:space="preserve"> Pays de la Loire (C </w:t>
      </w:r>
      <w:proofErr w:type="spellStart"/>
      <w:r>
        <w:rPr>
          <w:rFonts w:ascii="Garamond" w:hAnsi="Garamond"/>
          <w:sz w:val="24"/>
        </w:rPr>
        <w:t>Sourdeau</w:t>
      </w:r>
      <w:proofErr w:type="spellEnd"/>
      <w:r>
        <w:rPr>
          <w:rFonts w:ascii="Garamond" w:hAnsi="Garamond"/>
          <w:sz w:val="24"/>
        </w:rPr>
        <w:t xml:space="preserve">), </w:t>
      </w:r>
      <w:proofErr w:type="spellStart"/>
      <w:r>
        <w:rPr>
          <w:rFonts w:ascii="Garamond" w:hAnsi="Garamond"/>
          <w:sz w:val="24"/>
        </w:rPr>
        <w:t>Itsap</w:t>
      </w:r>
      <w:proofErr w:type="spellEnd"/>
      <w:r>
        <w:rPr>
          <w:rFonts w:ascii="Garamond" w:hAnsi="Garamond"/>
          <w:sz w:val="24"/>
        </w:rPr>
        <w:t xml:space="preserve"> (A </w:t>
      </w:r>
      <w:proofErr w:type="spellStart"/>
      <w:r>
        <w:rPr>
          <w:rFonts w:ascii="Garamond" w:hAnsi="Garamond"/>
          <w:sz w:val="24"/>
        </w:rPr>
        <w:t>Decourtye</w:t>
      </w:r>
      <w:proofErr w:type="spellEnd"/>
      <w:r>
        <w:rPr>
          <w:rFonts w:ascii="Garamond" w:hAnsi="Garamond"/>
          <w:sz w:val="24"/>
        </w:rPr>
        <w:t>, V Urrutia)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Calendrier prévisionnel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Semaine du 18</w:t>
      </w:r>
      <w:r>
        <w:rPr>
          <w:rFonts w:ascii="Garamond" w:hAnsi="Garamond"/>
          <w:sz w:val="24"/>
        </w:rPr>
        <w:t xml:space="preserve"> juin : validation du protocole et du questionnaire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Semaine du 25 juin : consultation du comité d’experts apicole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Semaine du 2 juillet : lancement du questionnaire par mail et publipostage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Semaine du 16 juillet : relance des non-répondants par mail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Fin jui</w:t>
      </w:r>
      <w:r>
        <w:rPr>
          <w:rFonts w:ascii="Garamond" w:hAnsi="Garamond"/>
          <w:sz w:val="24"/>
        </w:rPr>
        <w:t>llet : première synthèse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Septembre : consolidation avec les retours des répondants par courrier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Octobre : publication des résultats définitifs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Distribution des tâches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Groupe projet : conception du protocole et du questionnaire, plan d’analyse des données,</w:t>
      </w:r>
      <w:r>
        <w:rPr>
          <w:rFonts w:ascii="Garamond" w:hAnsi="Garamond"/>
          <w:sz w:val="24"/>
        </w:rPr>
        <w:t xml:space="preserve"> interprétation et discussion des résultats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DGAl : mailing aux apiculteurs, relance par mail, tirage au sort de 3 000 apiculteurs à contacter par courrier, publipostage, enquête téléphonique complémentaire éventuelle, saisie des réponses reçues par courrie</w:t>
      </w:r>
      <w:r>
        <w:rPr>
          <w:rFonts w:ascii="Garamond" w:hAnsi="Garamond"/>
          <w:sz w:val="24"/>
        </w:rPr>
        <w:t>r, croisement des données d’enquête avec DDER17, description de DDER17 incluant la comparaison entre les apiculteurs ayant déclaré par courrier et ceux ayant déclaré par mail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Anses Lyon, unité EAS, Anses Sophia unité UPA : consultation Cnil, développement </w:t>
      </w:r>
      <w:r>
        <w:rPr>
          <w:rFonts w:ascii="Garamond" w:hAnsi="Garamond"/>
          <w:sz w:val="24"/>
        </w:rPr>
        <w:t xml:space="preserve">et hébergement du questionnaire sous Sphinx, développement d’une interface de </w:t>
      </w:r>
      <w:r>
        <w:rPr>
          <w:rFonts w:ascii="Garamond" w:hAnsi="Garamond"/>
          <w:sz w:val="24"/>
        </w:rPr>
        <w:lastRenderedPageBreak/>
        <w:t xml:space="preserve">consultation (accessible DGAl , </w:t>
      </w:r>
      <w:proofErr w:type="spellStart"/>
      <w:r>
        <w:rPr>
          <w:rFonts w:ascii="Garamond" w:hAnsi="Garamond"/>
          <w:sz w:val="24"/>
        </w:rPr>
        <w:t>Sral</w:t>
      </w:r>
      <w:proofErr w:type="spellEnd"/>
      <w:r>
        <w:rPr>
          <w:rFonts w:ascii="Garamond" w:hAnsi="Garamond"/>
          <w:sz w:val="24"/>
        </w:rPr>
        <w:t>, groupe projet) sous R-</w:t>
      </w:r>
      <w:proofErr w:type="spellStart"/>
      <w:r>
        <w:rPr>
          <w:rFonts w:ascii="Garamond" w:hAnsi="Garamond"/>
          <w:sz w:val="24"/>
        </w:rPr>
        <w:t>shiny</w:t>
      </w:r>
      <w:proofErr w:type="spellEnd"/>
      <w:r>
        <w:rPr>
          <w:rFonts w:ascii="Garamond" w:hAnsi="Garamond"/>
          <w:sz w:val="24"/>
        </w:rPr>
        <w:t xml:space="preserve"> permettant un suivi en temps réel de l’avancement de l’enquête (à préciser : nb de réponses avec date et départe</w:t>
      </w:r>
      <w:r>
        <w:rPr>
          <w:rFonts w:ascii="Garamond" w:hAnsi="Garamond"/>
          <w:sz w:val="24"/>
        </w:rPr>
        <w:t>ment, et taux de réponse –nb réponses/nb apiculteurs dans DDER17), nettoyage, croisement des données d’enquête avec DDER17, tri-à-plat, mise en forme des résultats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Plateforme ESA (</w:t>
      </w:r>
      <w:r>
        <w:rPr>
          <w:rFonts w:ascii="Garamond" w:hAnsi="Garamond"/>
          <w:sz w:val="24"/>
        </w:rPr>
        <w:t xml:space="preserve">équipe de </w:t>
      </w:r>
      <w:r>
        <w:rPr>
          <w:rFonts w:ascii="Garamond" w:hAnsi="Garamond"/>
          <w:sz w:val="24"/>
        </w:rPr>
        <w:t>coordination</w:t>
      </w:r>
      <w:r>
        <w:rPr>
          <w:rFonts w:ascii="Garamond" w:hAnsi="Garamond"/>
          <w:sz w:val="24"/>
        </w:rPr>
        <w:t xml:space="preserve"> Anses / DGAl</w:t>
      </w:r>
      <w:r>
        <w:rPr>
          <w:rFonts w:ascii="Garamond" w:hAnsi="Garamond"/>
          <w:sz w:val="24"/>
        </w:rPr>
        <w:t xml:space="preserve">) : interface avec le comité d’experts </w:t>
      </w:r>
      <w:r>
        <w:rPr>
          <w:rFonts w:ascii="Garamond" w:hAnsi="Garamond"/>
          <w:sz w:val="24"/>
        </w:rPr>
        <w:t xml:space="preserve">apicole du </w:t>
      </w:r>
      <w:proofErr w:type="spellStart"/>
      <w:r>
        <w:rPr>
          <w:rFonts w:ascii="Garamond" w:hAnsi="Garamond"/>
          <w:sz w:val="24"/>
        </w:rPr>
        <w:t>Cnopsav</w:t>
      </w:r>
      <w:proofErr w:type="spellEnd"/>
      <w:r>
        <w:rPr>
          <w:rFonts w:ascii="Garamond" w:hAnsi="Garamond"/>
          <w:sz w:val="24"/>
        </w:rPr>
        <w:t>, supports de communication, plan de communication, validation des résultats</w:t>
      </w:r>
    </w:p>
    <w:p w:rsidR="00A114C0" w:rsidRDefault="00A114C0">
      <w:pPr>
        <w:jc w:val="both"/>
        <w:rPr>
          <w:rFonts w:ascii="Garamond" w:hAnsi="Garamond"/>
          <w:sz w:val="24"/>
        </w:rPr>
      </w:pPr>
    </w:p>
    <w:p w:rsidR="00A114C0" w:rsidRDefault="00002E82">
      <w:pPr>
        <w:pStyle w:val="Paragraphedeliste"/>
        <w:numPr>
          <w:ilvl w:val="0"/>
          <w:numId w:val="2"/>
        </w:numPr>
        <w:ind w:left="364"/>
        <w:jc w:val="both"/>
      </w:pPr>
      <w:r>
        <w:rPr>
          <w:rFonts w:ascii="Garamond" w:hAnsi="Garamond"/>
          <w:b/>
          <w:sz w:val="24"/>
        </w:rPr>
        <w:t>A</w:t>
      </w:r>
      <w:r>
        <w:rPr>
          <w:rFonts w:ascii="Garamond" w:hAnsi="Garamond"/>
          <w:b/>
          <w:sz w:val="24"/>
        </w:rPr>
        <w:t>nalyse</w:t>
      </w:r>
      <w:r>
        <w:rPr>
          <w:rFonts w:ascii="Garamond" w:hAnsi="Garamond"/>
          <w:b/>
          <w:sz w:val="24"/>
        </w:rPr>
        <w:t>s à réaliser à partir des résultats de déclaration</w:t>
      </w:r>
      <w:r>
        <w:rPr>
          <w:rFonts w:ascii="Garamond" w:hAnsi="Garamond"/>
          <w:b/>
          <w:sz w:val="24"/>
        </w:rPr>
        <w:t xml:space="preserve"> (à compléter)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Nettoyage des données, mise en correspondance des résultats de l’enquête avec le</w:t>
      </w:r>
      <w:r>
        <w:rPr>
          <w:rFonts w:ascii="Garamond" w:hAnsi="Garamond"/>
          <w:sz w:val="24"/>
        </w:rPr>
        <w:t>s données de DDER17 (règles de concordance)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Description des apiculteurs répondants : nombre, localisation, nombre de ruches, cartographie plus ou moins fine selon les catégories (fonction du nombre de réponses)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Calcul des taux de mortalité hivernale, repré</w:t>
      </w:r>
      <w:r>
        <w:rPr>
          <w:rFonts w:ascii="Garamond" w:hAnsi="Garamond"/>
          <w:sz w:val="24"/>
        </w:rPr>
        <w:t>sentation en fonction de la localisation des apiculteurs, de la taille des ruchers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Croisement des variables descriptives avec les variables recueillant l’avis des apiculteurs</w:t>
      </w:r>
    </w:p>
    <w:p w:rsidR="00A114C0" w:rsidRDefault="00002E82">
      <w:pPr>
        <w:pStyle w:val="Paragraphedeliste"/>
        <w:numPr>
          <w:ilvl w:val="1"/>
          <w:numId w:val="2"/>
        </w:numPr>
        <w:ind w:left="851"/>
        <w:jc w:val="both"/>
      </w:pPr>
      <w:r>
        <w:rPr>
          <w:rFonts w:ascii="Garamond" w:hAnsi="Garamond"/>
          <w:sz w:val="24"/>
        </w:rPr>
        <w:t>…</w:t>
      </w:r>
    </w:p>
    <w:p w:rsidR="00A114C0" w:rsidRDefault="00A114C0">
      <w:pPr>
        <w:sectPr w:rsidR="00A114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985" w:left="1418" w:header="567" w:footer="567" w:gutter="0"/>
          <w:cols w:space="720"/>
          <w:formProt w:val="0"/>
        </w:sectPr>
      </w:pPr>
    </w:p>
    <w:p w:rsidR="00002E82" w:rsidRDefault="00002E82"/>
    <w:sectPr w:rsidR="00002E82">
      <w:type w:val="continuous"/>
      <w:pgSz w:w="11906" w:h="16838"/>
      <w:pgMar w:top="1134" w:right="1418" w:bottom="1701" w:left="1418" w:header="680" w:footer="45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82" w:rsidRDefault="00002E82">
      <w:r>
        <w:separator/>
      </w:r>
    </w:p>
  </w:endnote>
  <w:endnote w:type="continuationSeparator" w:id="0">
    <w:p w:rsidR="00002E82" w:rsidRDefault="000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vantGarde">
    <w:altName w:val="Century Gothic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D7" w:rsidRDefault="002156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41" w:type="dxa"/>
      <w:tblBorders>
        <w:top w:val="single" w:sz="6" w:space="0" w:color="00000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3"/>
      <w:gridCol w:w="3283"/>
      <w:gridCol w:w="3782"/>
    </w:tblGrid>
    <w:tr w:rsidR="00A114C0">
      <w:trPr>
        <w:trHeight w:hRule="exact" w:val="120"/>
      </w:trPr>
      <w:tc>
        <w:tcPr>
          <w:tcW w:w="3283" w:type="dxa"/>
          <w:tcBorders>
            <w:top w:val="single" w:sz="6" w:space="0" w:color="000001"/>
          </w:tcBorders>
          <w:shd w:val="clear" w:color="auto" w:fill="auto"/>
        </w:tcPr>
        <w:p w:rsidR="00A114C0" w:rsidRDefault="00A114C0">
          <w:pPr>
            <w:pStyle w:val="Pieddepage"/>
            <w:rPr>
              <w:rFonts w:ascii="AvantGarde" w:hAnsi="AvantGarde"/>
              <w:sz w:val="20"/>
            </w:rPr>
          </w:pPr>
        </w:p>
      </w:tc>
      <w:tc>
        <w:tcPr>
          <w:tcW w:w="3283" w:type="dxa"/>
          <w:tcBorders>
            <w:top w:val="single" w:sz="6" w:space="0" w:color="000001"/>
          </w:tcBorders>
          <w:shd w:val="clear" w:color="auto" w:fill="auto"/>
        </w:tcPr>
        <w:p w:rsidR="00A114C0" w:rsidRDefault="00A114C0">
          <w:pPr>
            <w:pStyle w:val="Pieddepage"/>
            <w:jc w:val="center"/>
            <w:rPr>
              <w:sz w:val="20"/>
            </w:rPr>
          </w:pPr>
        </w:p>
      </w:tc>
      <w:tc>
        <w:tcPr>
          <w:tcW w:w="3782" w:type="dxa"/>
          <w:tcBorders>
            <w:top w:val="single" w:sz="6" w:space="0" w:color="000001"/>
          </w:tcBorders>
          <w:shd w:val="clear" w:color="auto" w:fill="auto"/>
        </w:tcPr>
        <w:p w:rsidR="00A114C0" w:rsidRDefault="00A114C0">
          <w:pPr>
            <w:pStyle w:val="Pieddepage"/>
            <w:jc w:val="right"/>
            <w:rPr>
              <w:sz w:val="20"/>
            </w:rPr>
          </w:pPr>
        </w:p>
      </w:tc>
    </w:tr>
    <w:tr w:rsidR="00A114C0">
      <w:tc>
        <w:tcPr>
          <w:tcW w:w="3283" w:type="dxa"/>
          <w:shd w:val="clear" w:color="auto" w:fill="auto"/>
        </w:tcPr>
        <w:p w:rsidR="00A114C0" w:rsidRDefault="00002E82">
          <w:pPr>
            <w:pStyle w:val="Pieddepage"/>
          </w:pPr>
          <w:r>
            <w:fldChar w:fldCharType="begin"/>
          </w:r>
          <w:r>
            <w:instrText>FILENAME</w:instrText>
          </w:r>
          <w:r>
            <w:fldChar w:fldCharType="separate"/>
          </w:r>
          <w:r w:rsidR="002156D7">
            <w:rPr>
              <w:noProof/>
            </w:rPr>
            <w:t>ENMHA 2017-2018_protocole_v2</w:t>
          </w:r>
          <w:r>
            <w:fldChar w:fldCharType="end"/>
          </w:r>
        </w:p>
      </w:tc>
      <w:tc>
        <w:tcPr>
          <w:tcW w:w="3283" w:type="dxa"/>
          <w:shd w:val="clear" w:color="auto" w:fill="auto"/>
        </w:tcPr>
        <w:p w:rsidR="00A114C0" w:rsidRDefault="00002E82">
          <w:pPr>
            <w:pStyle w:val="Pieddepag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156D7">
            <w:rPr>
              <w:noProof/>
            </w:rPr>
            <w:t>3</w:t>
          </w:r>
          <w:r>
            <w:fldChar w:fldCharType="end"/>
          </w:r>
          <w:r>
            <w:rPr>
              <w:rFonts w:ascii="Century Gothic" w:hAnsi="Century Gothic"/>
              <w:sz w:val="20"/>
            </w:rPr>
            <w:t>/</w:t>
          </w:r>
          <w:r>
            <w:rPr>
              <w:rFonts w:ascii="Century Gothic" w:hAnsi="Century Gothic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156D7">
            <w:rPr>
              <w:noProof/>
            </w:rPr>
            <w:t>3</w:t>
          </w:r>
          <w:r>
            <w:fldChar w:fldCharType="end"/>
          </w:r>
          <w:bookmarkStart w:id="0" w:name="_GoBack"/>
          <w:bookmarkEnd w:id="0"/>
        </w:p>
      </w:tc>
      <w:tc>
        <w:tcPr>
          <w:tcW w:w="3782" w:type="dxa"/>
          <w:shd w:val="clear" w:color="auto" w:fill="auto"/>
        </w:tcPr>
        <w:p w:rsidR="00A114C0" w:rsidRDefault="00002E82">
          <w:pPr>
            <w:pStyle w:val="Pieddepage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Document créé le 11/06/2018 </w:t>
          </w:r>
        </w:p>
        <w:p w:rsidR="00A114C0" w:rsidRDefault="00002E82" w:rsidP="002156D7">
          <w:pPr>
            <w:pStyle w:val="Pieddepage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Dernière révision le 2</w:t>
          </w:r>
          <w:r w:rsidR="002156D7">
            <w:rPr>
              <w:rFonts w:ascii="Century Gothic" w:hAnsi="Century Gothic"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t xml:space="preserve">/06/2018 </w:t>
          </w:r>
        </w:p>
      </w:tc>
    </w:tr>
  </w:tbl>
  <w:p w:rsidR="00A114C0" w:rsidRDefault="00A11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D7" w:rsidRDefault="002156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82" w:rsidRDefault="00002E82"/>
  </w:footnote>
  <w:footnote w:type="continuationSeparator" w:id="0">
    <w:p w:rsidR="00002E82" w:rsidRDefault="00002E82">
      <w:r>
        <w:continuationSeparator/>
      </w:r>
    </w:p>
  </w:footnote>
  <w:footnote w:id="1">
    <w:p w:rsidR="00A114C0" w:rsidRDefault="00002E82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rPr>
          <w:sz w:val="18"/>
        </w:rPr>
        <w:t xml:space="preserve">Variables disponibles : numéro (unique) NAPI, identification de l’apiculteur, N° Siret, code </w:t>
      </w:r>
      <w:r>
        <w:rPr>
          <w:sz w:val="18"/>
        </w:rPr>
        <w:t>postal et commune du déclarant, nb de colonies le jour de la déclaration, commune de localisation actuelle et dans l’année à venir des colonies, date de déclaration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D7" w:rsidRDefault="002156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8"/>
      <w:gridCol w:w="5440"/>
    </w:tblGrid>
    <w:tr w:rsidR="00A114C0">
      <w:tc>
        <w:tcPr>
          <w:tcW w:w="4908" w:type="dxa"/>
          <w:shd w:val="clear" w:color="auto" w:fill="auto"/>
        </w:tcPr>
        <w:p w:rsidR="00A114C0" w:rsidRDefault="00002E82">
          <w:pPr>
            <w:pStyle w:val="En-tte"/>
            <w:rPr>
              <w:rFonts w:ascii="Comic Sans MS" w:hAnsi="Comic Sans MS"/>
              <w:sz w:val="40"/>
            </w:rPr>
          </w:pPr>
          <w:r>
            <w:rPr>
              <w:noProof/>
            </w:rPr>
            <w:drawing>
              <wp:inline distT="0" distB="0" distL="0" distR="0">
                <wp:extent cx="1941195" cy="983615"/>
                <wp:effectExtent l="0" t="0" r="0" b="0"/>
                <wp:docPr id="1" name="Image 2" descr="J:\La Plateforme\Logos\logo_pfssa_tem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J:\La Plateforme\Logos\logo_pfssa_tem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9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shd w:val="clear" w:color="auto" w:fill="auto"/>
        </w:tcPr>
        <w:p w:rsidR="00A114C0" w:rsidRDefault="00A114C0">
          <w:pPr>
            <w:pStyle w:val="En-tte"/>
            <w:jc w:val="right"/>
            <w:rPr>
              <w:b/>
              <w:sz w:val="24"/>
            </w:rPr>
          </w:pPr>
        </w:p>
      </w:tc>
    </w:tr>
  </w:tbl>
  <w:p w:rsidR="00A114C0" w:rsidRDefault="00A11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D7" w:rsidRDefault="002156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122"/>
    <w:multiLevelType w:val="multilevel"/>
    <w:tmpl w:val="660EB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  <w:b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460C720E"/>
    <w:multiLevelType w:val="multilevel"/>
    <w:tmpl w:val="B156E372"/>
    <w:lvl w:ilvl="0">
      <w:start w:val="1"/>
      <w:numFmt w:val="upperRoman"/>
      <w:pStyle w:val="Titre1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C0"/>
    <w:rsid w:val="00002E82"/>
    <w:rsid w:val="002156D7"/>
    <w:rsid w:val="00A114C0"/>
    <w:rsid w:val="00D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F407"/>
  <w15:docId w15:val="{83DA51EF-73BF-440C-9FE1-EAF626D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A0"/>
    <w:pPr>
      <w:suppressAutoHyphens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04FD6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FD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704FD6"/>
    <w:rPr>
      <w:rFonts w:ascii="Cambria" w:hAnsi="Cambria"/>
      <w:b/>
      <w:bCs/>
      <w:sz w:val="32"/>
      <w:szCs w:val="3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704FD6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704FD6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qFormat/>
    <w:rsid w:val="00F82B60"/>
    <w:rPr>
      <w:rFonts w:ascii="Liberation Sans" w:eastAsia="Arial Unicode MS" w:hAnsi="Liberation Sans"/>
      <w:sz w:val="24"/>
      <w:szCs w:val="24"/>
      <w:lang w:eastAsia="ar-SA"/>
    </w:rPr>
  </w:style>
  <w:style w:type="character" w:customStyle="1" w:styleId="LienInternet">
    <w:name w:val="Lien Internet"/>
    <w:basedOn w:val="Policepardfaut"/>
    <w:uiPriority w:val="99"/>
    <w:semiHidden/>
    <w:unhideWhenUsed/>
    <w:rsid w:val="00D865FC"/>
    <w:rPr>
      <w:color w:val="0000FF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2134B"/>
    <w:rPr>
      <w:color w:val="00000A"/>
    </w:rPr>
  </w:style>
  <w:style w:type="character" w:styleId="Marquedecommentaire">
    <w:name w:val="annotation reference"/>
    <w:uiPriority w:val="99"/>
    <w:semiHidden/>
    <w:unhideWhenUsed/>
    <w:qFormat/>
    <w:rsid w:val="00D2134B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01E56"/>
    <w:rPr>
      <w:b/>
      <w:bCs/>
      <w:color w:val="00000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Arial Unicode MS" w:cs="Arial"/>
    </w:rPr>
  </w:style>
  <w:style w:type="character" w:customStyle="1" w:styleId="ListLabel3">
    <w:name w:val="ListLabel 3"/>
    <w:qFormat/>
    <w:rPr>
      <w:rFonts w:ascii="Garamond" w:hAnsi="Garamond" w:cs="Symbol"/>
      <w:b/>
      <w:sz w:val="24"/>
    </w:rPr>
  </w:style>
  <w:style w:type="character" w:customStyle="1" w:styleId="ListLabel4">
    <w:name w:val="ListLabel 4"/>
    <w:qFormat/>
    <w:rPr>
      <w:rFonts w:ascii="Garamond" w:hAnsi="Garamond" w:cs="Wingdings"/>
      <w:sz w:val="24"/>
    </w:rPr>
  </w:style>
  <w:style w:type="character" w:customStyle="1" w:styleId="ListLabel5">
    <w:name w:val="ListLabel 5"/>
    <w:qFormat/>
    <w:rPr>
      <w:rFonts w:cs="Courier New"/>
      <w:b w:val="0"/>
      <w:sz w:val="24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6">
    <w:name w:val="ListLabel 6"/>
    <w:qFormat/>
    <w:rPr>
      <w:rFonts w:ascii="Garamond" w:hAnsi="Garamond" w:cs="Symbol"/>
      <w:b/>
      <w:sz w:val="24"/>
    </w:rPr>
  </w:style>
  <w:style w:type="character" w:customStyle="1" w:styleId="ListLabel7">
    <w:name w:val="ListLabel 7"/>
    <w:qFormat/>
    <w:rPr>
      <w:rFonts w:ascii="Garamond" w:hAnsi="Garamond" w:cs="Wingdings"/>
      <w:sz w:val="24"/>
    </w:rPr>
  </w:style>
  <w:style w:type="character" w:customStyle="1" w:styleId="ListLabel8">
    <w:name w:val="ListLabel 8"/>
    <w:qFormat/>
    <w:rPr>
      <w:rFonts w:cs="Courier New"/>
      <w:b w:val="0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F82B60"/>
    <w:pPr>
      <w:widowControl w:val="0"/>
      <w:spacing w:after="120"/>
    </w:pPr>
    <w:rPr>
      <w:rFonts w:ascii="Liberation Sans" w:eastAsia="Arial Unicode MS" w:hAnsi="Liberation Sans"/>
      <w:sz w:val="24"/>
      <w:szCs w:val="24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</w:style>
  <w:style w:type="paragraph" w:styleId="En-tte">
    <w:name w:val="header"/>
    <w:basedOn w:val="Normal"/>
    <w:semiHidden/>
    <w:rsid w:val="008B6D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B6D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FD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</w:style>
  <w:style w:type="paragraph" w:styleId="Paragraphedeliste">
    <w:name w:val="List Paragraph"/>
    <w:basedOn w:val="Normal"/>
    <w:uiPriority w:val="34"/>
    <w:qFormat/>
    <w:rsid w:val="006A3971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2134B"/>
    <w:rPr>
      <w:color w:val="00000A"/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01E56"/>
    <w:pPr>
      <w:suppressAutoHyphens w:val="0"/>
    </w:pPr>
    <w:rPr>
      <w:b/>
      <w:bCs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table" w:styleId="Grilledutableau">
    <w:name w:val="Table Grid"/>
    <w:basedOn w:val="TableauNormal"/>
    <w:uiPriority w:val="59"/>
    <w:rsid w:val="00717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FF8F-DD9D-40FC-B2AE-328F191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AFSSA Lyon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CALAVAS Didier</cp:lastModifiedBy>
  <cp:revision>3</cp:revision>
  <cp:lastPrinted>2018-06-21T08:45:00Z</cp:lastPrinted>
  <dcterms:created xsi:type="dcterms:W3CDTF">2018-06-22T13:09:00Z</dcterms:created>
  <dcterms:modified xsi:type="dcterms:W3CDTF">2018-06-22T13:10:00Z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AFSSA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